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B9A" w:rsidRPr="00D95B9A" w:rsidRDefault="00D95B9A" w:rsidP="00D95B9A">
      <w:pPr>
        <w:spacing w:after="0"/>
        <w:jc w:val="both"/>
        <w:rPr>
          <w:rFonts w:ascii="Times New Roman" w:hAnsi="Times New Roman" w:cs="Times New Roman"/>
          <w:color w:val="333333"/>
          <w:sz w:val="28"/>
          <w:szCs w:val="28"/>
          <w:shd w:val="clear" w:color="auto" w:fill="FFFFFF"/>
        </w:rPr>
      </w:pPr>
    </w:p>
    <w:p w:rsidR="00DB4C7E" w:rsidRPr="00DB4C7E" w:rsidRDefault="00DB4C7E" w:rsidP="00DB4C7E">
      <w:pPr>
        <w:spacing w:after="0"/>
        <w:ind w:firstLine="708"/>
        <w:jc w:val="center"/>
        <w:rPr>
          <w:rFonts w:ascii="Times New Roman" w:hAnsi="Times New Roman" w:cs="Times New Roman"/>
          <w:color w:val="333333"/>
          <w:sz w:val="28"/>
          <w:szCs w:val="28"/>
          <w:shd w:val="clear" w:color="auto" w:fill="FFFFFF"/>
        </w:rPr>
      </w:pPr>
      <w:bookmarkStart w:id="0" w:name="_GoBack"/>
      <w:r w:rsidRPr="00DB4C7E">
        <w:rPr>
          <w:rFonts w:ascii="Times New Roman" w:hAnsi="Times New Roman" w:cs="Times New Roman"/>
          <w:b/>
          <w:color w:val="333333"/>
          <w:sz w:val="28"/>
          <w:szCs w:val="28"/>
          <w:shd w:val="clear" w:color="auto" w:fill="FFFFFF"/>
        </w:rPr>
        <w:t>Порядок поворота исполнения решения суда</w:t>
      </w:r>
      <w:bookmarkEnd w:id="0"/>
      <w:r>
        <w:rPr>
          <w:rFonts w:ascii="Times New Roman" w:hAnsi="Times New Roman" w:cs="Times New Roman"/>
          <w:b/>
          <w:color w:val="333333"/>
          <w:sz w:val="28"/>
          <w:szCs w:val="28"/>
          <w:shd w:val="clear" w:color="auto" w:fill="FFFFFF"/>
        </w:rPr>
        <w:t>.</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 </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Основания, порядок поворота исполнения решения суда определены Гражданским процессуальным кодексом Российской Федерации.</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Согласно ст.442 Гражданско-процессуального кодекса Российской Федерации (далее – ГПК РФ) поворот исполнения решения суда означает, что в случае отмены решения суда, приведенного в исполнение, и принятия после нового рассмотрения дела решения суда об отказе в иске полностью или в части либо определения о прекращении производства по делу или об оставлении заявления без рассмотрения ответчику должно быть возвращено все то, что было с него взыскано в пользу истца по отмененному решению суда.</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Вопрос о повороте исполнения решения суда решается судом апелляционной, кассационной или надзорной инстанции, а также судом первой инстанции, которому дело передано на новое рассмотрение. Если же данный вопрос не разрешен, ответчик вправе подать в суд соответствующее заявление.</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На определение суда о повороте исполнения решения суда может быть подана частная жалоба.</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При этом согласно ст.445 ГПК РФ в случае отмены в суде апелляционной инстанции решения суда по делу о взыскании алиментов поворот исполнения решения суда допускается только в тех случаях, если отмененное решение суда было основано на сообщенных истцом ложных сведениях или представленных им подложных документах.</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В случае отмены в кассационном или надзорном порядке решений суда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решения допускается, если отмененное решение суда было основано на сообщенных истцом ложных сведениях или представленных им подложных документах.</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Федеральным законом от 24.06.2023 №279-ФЗ Гражданский процессуальный кодекс Российской Федерации дополнен новой ст.445.1 «Порядок поворота исполнения судебного постановления, отмененного по вновь открывшимся или новым обстоятельствам».</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 xml:space="preserve">Согласно данной статье в случае отмены судебного постановления по вновь открывшимся или новым обстоятельствам в принятом в результате повторного рассмотрения дела новом судебном постановлении, которым суд окончательно разрешает спор, либо прекращает производство по делу, либо </w:t>
      </w:r>
      <w:r w:rsidRPr="00DB4C7E">
        <w:rPr>
          <w:rFonts w:ascii="Times New Roman" w:hAnsi="Times New Roman" w:cs="Times New Roman"/>
          <w:color w:val="333333"/>
          <w:sz w:val="28"/>
          <w:szCs w:val="28"/>
          <w:shd w:val="clear" w:color="auto" w:fill="FFFFFF"/>
        </w:rPr>
        <w:lastRenderedPageBreak/>
        <w:t>оставляет заявление без рассмотрения, должен быть разрешен вопрос о повороте исполнения судебного постановления.</w:t>
      </w:r>
    </w:p>
    <w:p w:rsidR="00DB4C7E" w:rsidRPr="00DB4C7E"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В случае, если в новом судебном постановлении нет указаний на поворот исполнения судебного постановления, лица, участвующие в деле, вправе подать соответствующее заявление в суд первой инстанции.</w:t>
      </w:r>
    </w:p>
    <w:p w:rsidR="00337275" w:rsidRPr="00337275" w:rsidRDefault="00DB4C7E" w:rsidP="00DB4C7E">
      <w:pPr>
        <w:spacing w:after="0"/>
        <w:ind w:firstLine="708"/>
        <w:jc w:val="both"/>
        <w:rPr>
          <w:rFonts w:ascii="Times New Roman" w:hAnsi="Times New Roman" w:cs="Times New Roman"/>
          <w:color w:val="333333"/>
          <w:sz w:val="28"/>
          <w:szCs w:val="28"/>
          <w:shd w:val="clear" w:color="auto" w:fill="FFFFFF"/>
        </w:rPr>
      </w:pPr>
      <w:r w:rsidRPr="00DB4C7E">
        <w:rPr>
          <w:rFonts w:ascii="Times New Roman" w:hAnsi="Times New Roman" w:cs="Times New Roman"/>
          <w:color w:val="333333"/>
          <w:sz w:val="28"/>
          <w:szCs w:val="28"/>
          <w:shd w:val="clear" w:color="auto" w:fill="FFFFFF"/>
        </w:rPr>
        <w:t>В случае отмены судебного постановления по вновь открывшимся или новым обстоятельствам по делам о взыскании денежных сумм по требованиям, вытекающим из трудовых отношений, о взыскании вознаграждения за использование прав на произведения науки, литературы и искусства, исполнения, открытия, изобретения, полезные модели, промышленные образцы, о взыскании алиментов, о возмещении вреда, причиненного увечьем или иным повреждением здоровья либо смертью кормильца, поворот исполнения судебного постановления не допускается при отсутствии установленных фактов сообщения истцом ложных сведений или представления им подложных документов.</w:t>
      </w:r>
    </w:p>
    <w:p w:rsidR="00337275" w:rsidRDefault="00337275" w:rsidP="00D95B9A">
      <w:pPr>
        <w:spacing w:after="0"/>
        <w:jc w:val="both"/>
        <w:rPr>
          <w:rFonts w:ascii="Times New Roman" w:hAnsi="Times New Roman" w:cs="Times New Roman"/>
          <w:color w:val="333333"/>
          <w:sz w:val="28"/>
          <w:szCs w:val="28"/>
        </w:rPr>
      </w:pPr>
    </w:p>
    <w:p w:rsidR="00D95B9A" w:rsidRDefault="00D95B9A" w:rsidP="00D95B9A">
      <w:pPr>
        <w:spacing w:after="0"/>
        <w:jc w:val="both"/>
        <w:rPr>
          <w:rFonts w:ascii="Times New Roman" w:hAnsi="Times New Roman" w:cs="Times New Roman"/>
          <w:color w:val="333333"/>
          <w:sz w:val="28"/>
          <w:szCs w:val="28"/>
        </w:rPr>
      </w:pPr>
    </w:p>
    <w:p w:rsidR="0046522F" w:rsidRPr="0046522F" w:rsidRDefault="00806CE9" w:rsidP="0046522F">
      <w:pPr>
        <w:spacing w:after="0"/>
        <w:jc w:val="both"/>
        <w:rPr>
          <w:rFonts w:ascii="Times New Roman" w:hAnsi="Times New Roman" w:cs="Times New Roman"/>
          <w:b/>
          <w:color w:val="333333"/>
          <w:sz w:val="28"/>
          <w:szCs w:val="28"/>
          <w:shd w:val="clear" w:color="auto" w:fill="FFFFFF"/>
        </w:rPr>
      </w:pPr>
      <w:r>
        <w:rPr>
          <w:rFonts w:ascii="Times New Roman" w:hAnsi="Times New Roman" w:cs="Times New Roman"/>
          <w:color w:val="333333"/>
          <w:sz w:val="28"/>
          <w:szCs w:val="28"/>
        </w:rPr>
        <w:t xml:space="preserve">Помощник прокурора Курского </w:t>
      </w:r>
      <w:r w:rsidR="0046522F">
        <w:rPr>
          <w:rFonts w:ascii="Times New Roman" w:hAnsi="Times New Roman" w:cs="Times New Roman"/>
          <w:color w:val="333333"/>
          <w:sz w:val="28"/>
          <w:szCs w:val="28"/>
        </w:rPr>
        <w:t xml:space="preserve">района                        </w:t>
      </w:r>
      <w:r>
        <w:rPr>
          <w:rFonts w:ascii="Times New Roman" w:hAnsi="Times New Roman" w:cs="Times New Roman"/>
          <w:color w:val="333333"/>
          <w:sz w:val="28"/>
          <w:szCs w:val="28"/>
        </w:rPr>
        <w:t xml:space="preserve">       </w:t>
      </w:r>
      <w:r w:rsidR="0046522F">
        <w:rPr>
          <w:rFonts w:ascii="Times New Roman" w:hAnsi="Times New Roman" w:cs="Times New Roman"/>
          <w:color w:val="333333"/>
          <w:sz w:val="28"/>
          <w:szCs w:val="28"/>
        </w:rPr>
        <w:t xml:space="preserve">  </w:t>
      </w:r>
      <w:r w:rsidR="00636ADB">
        <w:rPr>
          <w:rFonts w:ascii="Times New Roman" w:hAnsi="Times New Roman" w:cs="Times New Roman"/>
          <w:color w:val="333333"/>
          <w:sz w:val="28"/>
          <w:szCs w:val="28"/>
        </w:rPr>
        <w:t xml:space="preserve"> </w:t>
      </w:r>
      <w:r w:rsidR="0046522F">
        <w:rPr>
          <w:rFonts w:ascii="Times New Roman" w:hAnsi="Times New Roman" w:cs="Times New Roman"/>
          <w:color w:val="333333"/>
          <w:sz w:val="28"/>
          <w:szCs w:val="28"/>
        </w:rPr>
        <w:t xml:space="preserve">    Н.В. </w:t>
      </w:r>
      <w:proofErr w:type="spellStart"/>
      <w:r w:rsidR="0046522F">
        <w:rPr>
          <w:rFonts w:ascii="Times New Roman" w:hAnsi="Times New Roman" w:cs="Times New Roman"/>
          <w:color w:val="333333"/>
          <w:sz w:val="28"/>
          <w:szCs w:val="28"/>
        </w:rPr>
        <w:t>Деренкова</w:t>
      </w:r>
      <w:proofErr w:type="spellEnd"/>
    </w:p>
    <w:p w:rsidR="00924566" w:rsidRDefault="00924566" w:rsidP="0046522F">
      <w:pPr>
        <w:jc w:val="both"/>
      </w:pPr>
    </w:p>
    <w:p w:rsidR="00DB4C7E" w:rsidRDefault="00DB4C7E" w:rsidP="0046522F">
      <w:pPr>
        <w:jc w:val="both"/>
      </w:pPr>
    </w:p>
    <w:sectPr w:rsidR="00DB4C7E" w:rsidSect="00D95B9A">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88"/>
    <w:rsid w:val="00337275"/>
    <w:rsid w:val="00412E88"/>
    <w:rsid w:val="0046522F"/>
    <w:rsid w:val="00636ADB"/>
    <w:rsid w:val="00806CE9"/>
    <w:rsid w:val="00924566"/>
    <w:rsid w:val="00D95B9A"/>
    <w:rsid w:val="00DB4C7E"/>
    <w:rsid w:val="00DE0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172"/>
  <w15:chartTrackingRefBased/>
  <w15:docId w15:val="{B2F60F2D-A2E2-4789-9F93-6F8BC0A5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45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5B9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5B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229">
      <w:bodyDiv w:val="1"/>
      <w:marLeft w:val="0"/>
      <w:marRight w:val="0"/>
      <w:marTop w:val="0"/>
      <w:marBottom w:val="0"/>
      <w:divBdr>
        <w:top w:val="none" w:sz="0" w:space="0" w:color="auto"/>
        <w:left w:val="none" w:sz="0" w:space="0" w:color="auto"/>
        <w:bottom w:val="none" w:sz="0" w:space="0" w:color="auto"/>
        <w:right w:val="none" w:sz="0" w:space="0" w:color="auto"/>
      </w:divBdr>
    </w:div>
    <w:div w:id="907571338">
      <w:bodyDiv w:val="1"/>
      <w:marLeft w:val="0"/>
      <w:marRight w:val="0"/>
      <w:marTop w:val="0"/>
      <w:marBottom w:val="0"/>
      <w:divBdr>
        <w:top w:val="none" w:sz="0" w:space="0" w:color="auto"/>
        <w:left w:val="none" w:sz="0" w:space="0" w:color="auto"/>
        <w:bottom w:val="none" w:sz="0" w:space="0" w:color="auto"/>
        <w:right w:val="none" w:sz="0" w:space="0" w:color="auto"/>
      </w:divBdr>
      <w:divsChild>
        <w:div w:id="1076438339">
          <w:marLeft w:val="0"/>
          <w:marRight w:val="0"/>
          <w:marTop w:val="0"/>
          <w:marBottom w:val="0"/>
          <w:divBdr>
            <w:top w:val="none" w:sz="0" w:space="0" w:color="auto"/>
            <w:left w:val="none" w:sz="0" w:space="0" w:color="auto"/>
            <w:bottom w:val="none" w:sz="0" w:space="0" w:color="auto"/>
            <w:right w:val="none" w:sz="0" w:space="0" w:color="auto"/>
          </w:divBdr>
        </w:div>
      </w:divsChild>
    </w:div>
    <w:div w:id="926311368">
      <w:bodyDiv w:val="1"/>
      <w:marLeft w:val="0"/>
      <w:marRight w:val="0"/>
      <w:marTop w:val="0"/>
      <w:marBottom w:val="0"/>
      <w:divBdr>
        <w:top w:val="none" w:sz="0" w:space="0" w:color="auto"/>
        <w:left w:val="none" w:sz="0" w:space="0" w:color="auto"/>
        <w:bottom w:val="none" w:sz="0" w:space="0" w:color="auto"/>
        <w:right w:val="none" w:sz="0" w:space="0" w:color="auto"/>
      </w:divBdr>
      <w:divsChild>
        <w:div w:id="1519809738">
          <w:marLeft w:val="0"/>
          <w:marRight w:val="0"/>
          <w:marTop w:val="0"/>
          <w:marBottom w:val="0"/>
          <w:divBdr>
            <w:top w:val="none" w:sz="0" w:space="0" w:color="auto"/>
            <w:left w:val="none" w:sz="0" w:space="0" w:color="auto"/>
            <w:bottom w:val="none" w:sz="0" w:space="0" w:color="auto"/>
            <w:right w:val="none" w:sz="0" w:space="0" w:color="auto"/>
          </w:divBdr>
        </w:div>
      </w:divsChild>
    </w:div>
    <w:div w:id="1296134794">
      <w:bodyDiv w:val="1"/>
      <w:marLeft w:val="0"/>
      <w:marRight w:val="0"/>
      <w:marTop w:val="0"/>
      <w:marBottom w:val="0"/>
      <w:divBdr>
        <w:top w:val="none" w:sz="0" w:space="0" w:color="auto"/>
        <w:left w:val="none" w:sz="0" w:space="0" w:color="auto"/>
        <w:bottom w:val="none" w:sz="0" w:space="0" w:color="auto"/>
        <w:right w:val="none" w:sz="0" w:space="0" w:color="auto"/>
      </w:divBdr>
      <w:divsChild>
        <w:div w:id="391202086">
          <w:marLeft w:val="0"/>
          <w:marRight w:val="0"/>
          <w:marTop w:val="0"/>
          <w:marBottom w:val="0"/>
          <w:divBdr>
            <w:top w:val="single" w:sz="6" w:space="4" w:color="000000"/>
            <w:left w:val="single" w:sz="6" w:space="4" w:color="000000"/>
            <w:bottom w:val="single" w:sz="6" w:space="4" w:color="000000"/>
            <w:right w:val="single" w:sz="6" w:space="4" w:color="000000"/>
          </w:divBdr>
          <w:divsChild>
            <w:div w:id="311908672">
              <w:marLeft w:val="0"/>
              <w:marRight w:val="0"/>
              <w:marTop w:val="0"/>
              <w:marBottom w:val="0"/>
              <w:divBdr>
                <w:top w:val="none" w:sz="0" w:space="0" w:color="auto"/>
                <w:left w:val="none" w:sz="0" w:space="0" w:color="auto"/>
                <w:bottom w:val="none" w:sz="0" w:space="0" w:color="auto"/>
                <w:right w:val="none" w:sz="0" w:space="0" w:color="auto"/>
              </w:divBdr>
              <w:divsChild>
                <w:div w:id="1652716187">
                  <w:marLeft w:val="0"/>
                  <w:marRight w:val="0"/>
                  <w:marTop w:val="0"/>
                  <w:marBottom w:val="0"/>
                  <w:divBdr>
                    <w:top w:val="none" w:sz="0" w:space="0" w:color="auto"/>
                    <w:left w:val="none" w:sz="0" w:space="0" w:color="auto"/>
                    <w:bottom w:val="none" w:sz="0" w:space="0" w:color="auto"/>
                    <w:right w:val="none" w:sz="0" w:space="0" w:color="auto"/>
                  </w:divBdr>
                </w:div>
                <w:div w:id="1362053342">
                  <w:marLeft w:val="0"/>
                  <w:marRight w:val="0"/>
                  <w:marTop w:val="0"/>
                  <w:marBottom w:val="0"/>
                  <w:divBdr>
                    <w:top w:val="none" w:sz="0" w:space="0" w:color="auto"/>
                    <w:left w:val="none" w:sz="0" w:space="0" w:color="auto"/>
                    <w:bottom w:val="none" w:sz="0" w:space="0" w:color="auto"/>
                    <w:right w:val="none" w:sz="0" w:space="0" w:color="auto"/>
                  </w:divBdr>
                  <w:divsChild>
                    <w:div w:id="233659985">
                      <w:marLeft w:val="0"/>
                      <w:marRight w:val="0"/>
                      <w:marTop w:val="0"/>
                      <w:marBottom w:val="0"/>
                      <w:divBdr>
                        <w:top w:val="none" w:sz="0" w:space="0" w:color="auto"/>
                        <w:left w:val="none" w:sz="0" w:space="0" w:color="auto"/>
                        <w:bottom w:val="none" w:sz="0" w:space="0" w:color="auto"/>
                        <w:right w:val="none" w:sz="0" w:space="0" w:color="auto"/>
                      </w:divBdr>
                    </w:div>
                    <w:div w:id="1889414155">
                      <w:marLeft w:val="0"/>
                      <w:marRight w:val="0"/>
                      <w:marTop w:val="0"/>
                      <w:marBottom w:val="0"/>
                      <w:divBdr>
                        <w:top w:val="none" w:sz="0" w:space="0" w:color="auto"/>
                        <w:left w:val="none" w:sz="0" w:space="0" w:color="auto"/>
                        <w:bottom w:val="none" w:sz="0" w:space="0" w:color="auto"/>
                        <w:right w:val="none" w:sz="0" w:space="0" w:color="auto"/>
                      </w:divBdr>
                    </w:div>
                    <w:div w:id="797796394">
                      <w:marLeft w:val="0"/>
                      <w:marRight w:val="0"/>
                      <w:marTop w:val="0"/>
                      <w:marBottom w:val="0"/>
                      <w:divBdr>
                        <w:top w:val="none" w:sz="0" w:space="0" w:color="auto"/>
                        <w:left w:val="none" w:sz="0" w:space="0" w:color="auto"/>
                        <w:bottom w:val="none" w:sz="0" w:space="0" w:color="auto"/>
                        <w:right w:val="none" w:sz="0" w:space="0" w:color="auto"/>
                      </w:divBdr>
                    </w:div>
                    <w:div w:id="9743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33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725F2-F417-4038-A72A-C2C265C4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Рязанцева Валерия Николаевна</cp:lastModifiedBy>
  <cp:revision>4</cp:revision>
  <cp:lastPrinted>2023-11-07T16:31:00Z</cp:lastPrinted>
  <dcterms:created xsi:type="dcterms:W3CDTF">2023-11-07T16:32:00Z</dcterms:created>
  <dcterms:modified xsi:type="dcterms:W3CDTF">2024-02-29T10:50:00Z</dcterms:modified>
</cp:coreProperties>
</file>